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44" w:rsidRDefault="007F4444" w:rsidP="007F4444">
      <w:pPr>
        <w:widowControl/>
        <w:shd w:val="clear" w:color="auto" w:fill="FFFFFF"/>
        <w:spacing w:line="720" w:lineRule="atLeast"/>
        <w:jc w:val="left"/>
        <w:outlineLvl w:val="0"/>
        <w:rPr>
          <w:rFonts w:ascii="宋体" w:hAnsi="宋体" w:hint="eastAsia"/>
          <w:b/>
          <w:sz w:val="32"/>
          <w:szCs w:val="36"/>
        </w:rPr>
      </w:pPr>
      <w:r>
        <w:rPr>
          <w:rFonts w:ascii="宋体" w:hAnsi="宋体" w:hint="eastAsia"/>
          <w:sz w:val="28"/>
          <w:szCs w:val="36"/>
        </w:rPr>
        <w:t>附件：</w:t>
      </w:r>
      <w:r>
        <w:rPr>
          <w:rFonts w:ascii="宋体" w:hAnsi="宋体" w:hint="eastAsia"/>
          <w:sz w:val="28"/>
          <w:szCs w:val="36"/>
        </w:rPr>
        <w:t xml:space="preserve"> </w:t>
      </w:r>
      <w:r>
        <w:rPr>
          <w:rFonts w:ascii="宋体" w:hAnsi="宋体"/>
          <w:sz w:val="28"/>
          <w:szCs w:val="36"/>
        </w:rPr>
        <w:t xml:space="preserve"> </w:t>
      </w:r>
      <w:r>
        <w:rPr>
          <w:rFonts w:ascii="宋体" w:hAnsi="宋体"/>
          <w:b/>
          <w:sz w:val="32"/>
          <w:szCs w:val="36"/>
        </w:rPr>
        <w:t xml:space="preserve">                </w:t>
      </w:r>
      <w:bookmarkStart w:id="0" w:name="_GoBack"/>
      <w:r>
        <w:rPr>
          <w:rFonts w:ascii="宋体" w:hAnsi="宋体"/>
          <w:b/>
          <w:sz w:val="32"/>
          <w:szCs w:val="36"/>
        </w:rPr>
        <w:t xml:space="preserve"> </w:t>
      </w:r>
      <w:r>
        <w:rPr>
          <w:rFonts w:ascii="宋体" w:hAnsi="宋体" w:hint="eastAsia"/>
          <w:b/>
          <w:sz w:val="32"/>
          <w:szCs w:val="36"/>
        </w:rPr>
        <w:t>2023</w:t>
      </w:r>
      <w:r>
        <w:rPr>
          <w:rFonts w:ascii="宋体" w:hAnsi="宋体" w:hint="eastAsia"/>
          <w:b/>
          <w:sz w:val="32"/>
          <w:szCs w:val="36"/>
        </w:rPr>
        <w:t>年党建研究校级科研</w:t>
      </w:r>
      <w:proofErr w:type="gramStart"/>
      <w:r>
        <w:rPr>
          <w:rFonts w:ascii="宋体" w:hAnsi="宋体" w:hint="eastAsia"/>
          <w:b/>
          <w:sz w:val="32"/>
          <w:szCs w:val="36"/>
        </w:rPr>
        <w:t>项目结项一览表</w:t>
      </w:r>
      <w:bookmarkEnd w:id="0"/>
      <w:proofErr w:type="gramEnd"/>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9214"/>
        <w:gridCol w:w="1559"/>
      </w:tblGrid>
      <w:tr w:rsidR="007F4444" w:rsidRPr="00D01DC8" w:rsidTr="00382343">
        <w:trPr>
          <w:trHeight w:hRule="exact" w:val="624"/>
          <w:jc w:val="center"/>
        </w:trPr>
        <w:tc>
          <w:tcPr>
            <w:tcW w:w="988" w:type="dxa"/>
            <w:shd w:val="clear" w:color="auto" w:fill="auto"/>
            <w:vAlign w:val="center"/>
          </w:tcPr>
          <w:p w:rsidR="007F4444" w:rsidRPr="00D01DC8" w:rsidRDefault="007F4444" w:rsidP="00382343">
            <w:pPr>
              <w:jc w:val="center"/>
              <w:rPr>
                <w:rFonts w:hint="eastAsia"/>
                <w:b/>
                <w:sz w:val="28"/>
              </w:rPr>
            </w:pPr>
            <w:r w:rsidRPr="00D01DC8">
              <w:rPr>
                <w:rFonts w:hint="eastAsia"/>
                <w:b/>
                <w:sz w:val="28"/>
              </w:rPr>
              <w:t>序号</w:t>
            </w:r>
          </w:p>
        </w:tc>
        <w:tc>
          <w:tcPr>
            <w:tcW w:w="1417" w:type="dxa"/>
            <w:shd w:val="clear" w:color="auto" w:fill="auto"/>
            <w:vAlign w:val="center"/>
          </w:tcPr>
          <w:p w:rsidR="007F4444" w:rsidRPr="00D01DC8" w:rsidRDefault="007F4444" w:rsidP="00382343">
            <w:pPr>
              <w:jc w:val="center"/>
              <w:rPr>
                <w:rFonts w:hint="eastAsia"/>
                <w:b/>
                <w:sz w:val="28"/>
              </w:rPr>
            </w:pPr>
            <w:r w:rsidRPr="00D01DC8">
              <w:rPr>
                <w:rFonts w:hint="eastAsia"/>
                <w:b/>
                <w:sz w:val="28"/>
              </w:rPr>
              <w:t>项目类别</w:t>
            </w:r>
          </w:p>
        </w:tc>
        <w:tc>
          <w:tcPr>
            <w:tcW w:w="9214" w:type="dxa"/>
            <w:shd w:val="clear" w:color="auto" w:fill="auto"/>
            <w:vAlign w:val="center"/>
          </w:tcPr>
          <w:p w:rsidR="007F4444" w:rsidRPr="00D01DC8" w:rsidRDefault="007F4444" w:rsidP="00382343">
            <w:pPr>
              <w:jc w:val="center"/>
              <w:rPr>
                <w:rFonts w:hint="eastAsia"/>
                <w:b/>
                <w:sz w:val="28"/>
              </w:rPr>
            </w:pPr>
            <w:r w:rsidRPr="00D01DC8">
              <w:rPr>
                <w:rFonts w:hint="eastAsia"/>
                <w:b/>
                <w:sz w:val="28"/>
              </w:rPr>
              <w:t>项目名称</w:t>
            </w:r>
          </w:p>
        </w:tc>
        <w:tc>
          <w:tcPr>
            <w:tcW w:w="1559" w:type="dxa"/>
            <w:shd w:val="clear" w:color="auto" w:fill="auto"/>
            <w:vAlign w:val="center"/>
          </w:tcPr>
          <w:p w:rsidR="007F4444" w:rsidRPr="00D01DC8" w:rsidRDefault="007F4444" w:rsidP="00382343">
            <w:pPr>
              <w:jc w:val="center"/>
              <w:rPr>
                <w:rFonts w:hint="eastAsia"/>
                <w:b/>
                <w:sz w:val="28"/>
              </w:rPr>
            </w:pPr>
            <w:r w:rsidRPr="00D01DC8">
              <w:rPr>
                <w:rFonts w:hint="eastAsia"/>
                <w:b/>
                <w:sz w:val="28"/>
              </w:rPr>
              <w:t>负责人</w:t>
            </w:r>
          </w:p>
        </w:tc>
      </w:tr>
      <w:tr w:rsidR="007F4444" w:rsidRPr="00D01DC8" w:rsidTr="00382343">
        <w:trPr>
          <w:trHeight w:hRule="exact" w:val="569"/>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1</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重点</w:t>
            </w:r>
          </w:p>
        </w:tc>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基于“大数据”的新时代大学生党员选培机制研究</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卞海勇</w:t>
            </w:r>
          </w:p>
        </w:tc>
      </w:tr>
      <w:tr w:rsidR="007F4444" w:rsidRPr="00D01DC8" w:rsidTr="00382343">
        <w:trPr>
          <w:trHeight w:hRule="exact" w:val="562"/>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2</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nil"/>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实践育人视角下高校服务型学生党支部建设模式研究</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时艳</w:t>
            </w:r>
          </w:p>
        </w:tc>
      </w:tr>
      <w:tr w:rsidR="007F4444" w:rsidRPr="00D01DC8" w:rsidTr="00382343">
        <w:trPr>
          <w:trHeight w:hRule="exact" w:val="570"/>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3</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应用型本科高校中经管类专业“党建＋就业”融合机制研究</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庄炜</w:t>
            </w:r>
          </w:p>
        </w:tc>
      </w:tr>
      <w:tr w:rsidR="007F4444" w:rsidRPr="00D01DC8" w:rsidTr="00382343">
        <w:trPr>
          <w:trHeight w:hRule="exact" w:val="564"/>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4</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nil"/>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立德树人视域下二级</w:t>
            </w:r>
            <w:proofErr w:type="gramStart"/>
            <w:r w:rsidRPr="00D01DC8">
              <w:rPr>
                <w:rFonts w:hint="eastAsia"/>
                <w:sz w:val="28"/>
                <w:szCs w:val="28"/>
              </w:rPr>
              <w:t>学院党建</w:t>
            </w:r>
            <w:proofErr w:type="gramEnd"/>
            <w:r w:rsidRPr="00D01DC8">
              <w:rPr>
                <w:rFonts w:hint="eastAsia"/>
                <w:sz w:val="28"/>
                <w:szCs w:val="28"/>
              </w:rPr>
              <w:t>与业务深度融合机制探究</w:t>
            </w:r>
          </w:p>
        </w:tc>
        <w:tc>
          <w:tcPr>
            <w:tcW w:w="1559" w:type="dxa"/>
            <w:tcBorders>
              <w:top w:val="nil"/>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顾怡</w:t>
            </w:r>
          </w:p>
        </w:tc>
      </w:tr>
      <w:tr w:rsidR="007F4444" w:rsidRPr="00D01DC8" w:rsidTr="00382343">
        <w:trPr>
          <w:trHeight w:hRule="exact" w:val="572"/>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5</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nil"/>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pacing w:val="-20"/>
                <w:sz w:val="28"/>
                <w:szCs w:val="28"/>
              </w:rPr>
              <w:t>大统战视野下新建本科高校党外知识分子作用发挥机制研究——以苏州城市学院为例</w:t>
            </w:r>
          </w:p>
        </w:tc>
        <w:tc>
          <w:tcPr>
            <w:tcW w:w="1559" w:type="dxa"/>
            <w:tcBorders>
              <w:top w:val="nil"/>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邢超</w:t>
            </w:r>
          </w:p>
        </w:tc>
      </w:tr>
      <w:tr w:rsidR="007F4444" w:rsidRPr="00D01DC8" w:rsidTr="00382343">
        <w:trPr>
          <w:trHeight w:hRule="exact" w:val="620"/>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6</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spacing w:line="460" w:lineRule="exact"/>
              <w:rPr>
                <w:rFonts w:hint="eastAsia"/>
                <w:spacing w:val="-20"/>
                <w:sz w:val="28"/>
                <w:szCs w:val="28"/>
              </w:rPr>
            </w:pPr>
            <w:r w:rsidRPr="00D01DC8">
              <w:rPr>
                <w:rFonts w:hint="eastAsia"/>
                <w:sz w:val="28"/>
                <w:szCs w:val="28"/>
              </w:rPr>
              <w:t>高校高知群体、青年教师中发展党员工作研究</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俞美香</w:t>
            </w:r>
          </w:p>
        </w:tc>
      </w:tr>
      <w:tr w:rsidR="007F4444" w:rsidRPr="00D01DC8" w:rsidTr="00382343">
        <w:trPr>
          <w:trHeight w:hRule="exact" w:val="555"/>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7</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nil"/>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强化党建引领全面推进高校会计财务工作创新发展的模式与路径研究</w:t>
            </w:r>
          </w:p>
        </w:tc>
        <w:tc>
          <w:tcPr>
            <w:tcW w:w="1559" w:type="dxa"/>
            <w:tcBorders>
              <w:top w:val="nil"/>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沈宇娟</w:t>
            </w:r>
          </w:p>
        </w:tc>
      </w:tr>
      <w:tr w:rsidR="007F4444" w:rsidRPr="00D01DC8" w:rsidTr="00382343">
        <w:trPr>
          <w:trHeight w:hRule="exact" w:val="562"/>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8</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nil"/>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新建公办应用型本科高校加强专业化党务工作者队伍建设的思考</w:t>
            </w:r>
          </w:p>
        </w:tc>
        <w:tc>
          <w:tcPr>
            <w:tcW w:w="1559" w:type="dxa"/>
            <w:tcBorders>
              <w:top w:val="nil"/>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王祺</w:t>
            </w:r>
          </w:p>
        </w:tc>
      </w:tr>
      <w:tr w:rsidR="007F4444" w:rsidRPr="00D01DC8" w:rsidTr="00382343">
        <w:trPr>
          <w:trHeight w:hRule="exact" w:val="570"/>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sz w:val="28"/>
                <w:szCs w:val="28"/>
              </w:rPr>
              <w:t>9</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nil"/>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大数据时代高校学生党员教育管理服务创新研究</w:t>
            </w:r>
          </w:p>
        </w:tc>
        <w:tc>
          <w:tcPr>
            <w:tcW w:w="1559" w:type="dxa"/>
            <w:tcBorders>
              <w:top w:val="nil"/>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朱琳</w:t>
            </w:r>
          </w:p>
        </w:tc>
      </w:tr>
      <w:tr w:rsidR="007F4444" w:rsidRPr="00D01DC8" w:rsidTr="00382343">
        <w:trPr>
          <w:trHeight w:hRule="exact" w:val="564"/>
          <w:jc w:val="center"/>
        </w:trPr>
        <w:tc>
          <w:tcPr>
            <w:tcW w:w="988" w:type="dxa"/>
            <w:shd w:val="clear" w:color="auto" w:fill="auto"/>
            <w:vAlign w:val="center"/>
          </w:tcPr>
          <w:p w:rsidR="007F4444" w:rsidRPr="00D01DC8" w:rsidRDefault="007F4444" w:rsidP="00382343">
            <w:pPr>
              <w:jc w:val="center"/>
              <w:rPr>
                <w:rFonts w:hint="eastAsia"/>
              </w:rPr>
            </w:pPr>
            <w:r w:rsidRPr="00D01DC8">
              <w:rPr>
                <w:rFonts w:hint="eastAsia"/>
                <w:sz w:val="28"/>
                <w:szCs w:val="28"/>
              </w:rPr>
              <w:t>1</w:t>
            </w:r>
            <w:r w:rsidRPr="00D01DC8">
              <w:rPr>
                <w:sz w:val="28"/>
                <w:szCs w:val="28"/>
              </w:rPr>
              <w:t>0</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nil"/>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区域化党建背景下高校学生党建工作的载体创新研究</w:t>
            </w:r>
          </w:p>
        </w:tc>
        <w:tc>
          <w:tcPr>
            <w:tcW w:w="1559" w:type="dxa"/>
            <w:tcBorders>
              <w:top w:val="nil"/>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proofErr w:type="gramStart"/>
            <w:r w:rsidRPr="00D01DC8">
              <w:rPr>
                <w:rFonts w:hint="eastAsia"/>
                <w:sz w:val="28"/>
                <w:szCs w:val="28"/>
              </w:rPr>
              <w:t>毋张明</w:t>
            </w:r>
            <w:proofErr w:type="gramEnd"/>
          </w:p>
        </w:tc>
      </w:tr>
      <w:tr w:rsidR="007F4444" w:rsidRPr="00D01DC8" w:rsidTr="00382343">
        <w:trPr>
          <w:trHeight w:hRule="exact" w:val="572"/>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11</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党建引领下奥林匹克精神融入</w:t>
            </w:r>
            <w:proofErr w:type="gramStart"/>
            <w:r w:rsidRPr="00D01DC8">
              <w:rPr>
                <w:rFonts w:hint="eastAsia"/>
                <w:sz w:val="28"/>
                <w:szCs w:val="28"/>
              </w:rPr>
              <w:t>课程思政建设</w:t>
            </w:r>
            <w:proofErr w:type="gramEnd"/>
            <w:r w:rsidRPr="00D01DC8">
              <w:rPr>
                <w:rFonts w:hint="eastAsia"/>
                <w:sz w:val="28"/>
                <w:szCs w:val="28"/>
              </w:rPr>
              <w:t>路径研究</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李秋梦</w:t>
            </w:r>
          </w:p>
        </w:tc>
      </w:tr>
      <w:tr w:rsidR="007F4444" w:rsidRPr="00D01DC8" w:rsidTr="00382343">
        <w:trPr>
          <w:trHeight w:hRule="exact" w:val="577"/>
          <w:jc w:val="center"/>
        </w:trPr>
        <w:tc>
          <w:tcPr>
            <w:tcW w:w="988"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12</w:t>
            </w:r>
          </w:p>
        </w:tc>
        <w:tc>
          <w:tcPr>
            <w:tcW w:w="1417" w:type="dxa"/>
            <w:shd w:val="clear" w:color="auto" w:fill="auto"/>
            <w:vAlign w:val="center"/>
          </w:tcPr>
          <w:p w:rsidR="007F4444" w:rsidRPr="00D01DC8" w:rsidRDefault="007F4444" w:rsidP="00382343">
            <w:pPr>
              <w:jc w:val="center"/>
              <w:rPr>
                <w:rFonts w:hint="eastAsia"/>
                <w:sz w:val="28"/>
                <w:szCs w:val="28"/>
              </w:rPr>
            </w:pPr>
            <w:r w:rsidRPr="00D01DC8">
              <w:rPr>
                <w:rFonts w:hint="eastAsia"/>
                <w:sz w:val="28"/>
                <w:szCs w:val="28"/>
              </w:rPr>
              <w:t>一般</w:t>
            </w:r>
          </w:p>
        </w:tc>
        <w:tc>
          <w:tcPr>
            <w:tcW w:w="9214" w:type="dxa"/>
            <w:tcBorders>
              <w:top w:val="single" w:sz="4" w:space="0" w:color="auto"/>
              <w:left w:val="single" w:sz="4" w:space="0" w:color="auto"/>
              <w:bottom w:val="single" w:sz="4" w:space="0" w:color="auto"/>
              <w:right w:val="single" w:sz="4" w:space="0" w:color="auto"/>
            </w:tcBorders>
            <w:shd w:val="clear" w:color="000000" w:fill="FFFFFF"/>
            <w:vAlign w:val="center"/>
          </w:tcPr>
          <w:p w:rsidR="007F4444" w:rsidRPr="00D01DC8" w:rsidRDefault="007F4444" w:rsidP="00382343">
            <w:pPr>
              <w:rPr>
                <w:rFonts w:hint="eastAsia"/>
                <w:sz w:val="28"/>
                <w:szCs w:val="28"/>
              </w:rPr>
            </w:pPr>
            <w:r w:rsidRPr="00D01DC8">
              <w:rPr>
                <w:rFonts w:hint="eastAsia"/>
                <w:sz w:val="28"/>
                <w:szCs w:val="28"/>
              </w:rPr>
              <w:t>大学生党员典型选树的动力机制研究</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7F4444" w:rsidRPr="00D01DC8" w:rsidRDefault="007F4444" w:rsidP="00382343">
            <w:pPr>
              <w:jc w:val="center"/>
              <w:rPr>
                <w:rFonts w:hint="eastAsia"/>
                <w:sz w:val="28"/>
                <w:szCs w:val="28"/>
              </w:rPr>
            </w:pPr>
            <w:r w:rsidRPr="00D01DC8">
              <w:rPr>
                <w:rFonts w:hint="eastAsia"/>
                <w:sz w:val="28"/>
                <w:szCs w:val="28"/>
              </w:rPr>
              <w:t>张鹏远</w:t>
            </w:r>
          </w:p>
        </w:tc>
      </w:tr>
    </w:tbl>
    <w:p w:rsidR="007F4444" w:rsidRDefault="007F4444" w:rsidP="007F4444">
      <w:pPr>
        <w:rPr>
          <w:rFonts w:hint="eastAsia"/>
        </w:rPr>
      </w:pPr>
    </w:p>
    <w:p w:rsidR="00D47C13" w:rsidRDefault="007F4444"/>
    <w:sectPr w:rsidR="00D47C13">
      <w:pgSz w:w="16838" w:h="11906" w:orient="landscape"/>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44"/>
    <w:rsid w:val="007F4444"/>
    <w:rsid w:val="00D2405A"/>
    <w:rsid w:val="00F3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4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4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2024-07-17T12:35:00Z</dcterms:created>
  <dcterms:modified xsi:type="dcterms:W3CDTF">2024-07-17T12:35:00Z</dcterms:modified>
</cp:coreProperties>
</file>